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9D" w:rsidRPr="000A0E57" w:rsidRDefault="00D4375F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EF109D" w:rsidRPr="000A0E57" w:rsidRDefault="00D4375F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F109D" w:rsidRPr="000A0E57" w:rsidRDefault="00D4375F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EF109D" w:rsidRPr="000A0E57" w:rsidRDefault="00D4375F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EF109D" w:rsidRPr="000A0E57" w:rsidRDefault="00EF109D" w:rsidP="00EF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C82226">
        <w:rPr>
          <w:rFonts w:ascii="Times New Roman" w:eastAsia="Times New Roman" w:hAnsi="Times New Roman" w:cs="Times New Roman"/>
          <w:sz w:val="24"/>
          <w:szCs w:val="24"/>
          <w:lang w:val="sr-Cyrl-RS"/>
        </w:rPr>
        <w:t>278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-1</w:t>
      </w:r>
      <w:r w:rsidR="00C8222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</w:p>
    <w:p w:rsidR="00EF109D" w:rsidRPr="004B27BF" w:rsidRDefault="00DB41E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C8222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F109D" w:rsidRDefault="00D4375F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109D" w:rsidRPr="000A0E57" w:rsidRDefault="00D4375F" w:rsidP="00EF109D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EF109D" w:rsidRDefault="00660B46" w:rsidP="00EF109D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22.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</w:t>
      </w:r>
      <w:r w:rsidR="00EF109D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EF109D" w:rsidRDefault="00EF109D" w:rsidP="00EF109D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C82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82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C82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82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DB41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B41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2226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074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074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 w:rsidR="00074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J</w:t>
      </w:r>
      <w:r w:rsidR="00074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074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 w:rsidR="00074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074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074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074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074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074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74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074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F109D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BE14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BE14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E14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Dejana</w:t>
      </w:r>
      <w:r w:rsidR="00BE14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Nikolića</w:t>
      </w:r>
      <w:r w:rsidR="00BE14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BE14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BE14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BE14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BE14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E14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BE14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Kostića</w:t>
      </w:r>
      <w:r w:rsidR="00BE14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Slaviša</w:t>
      </w:r>
      <w:r w:rsidR="00BE14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Gorice</w:t>
      </w:r>
      <w:r w:rsidR="00BE14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982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Čarapić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prisutnog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982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Novica</w:t>
      </w:r>
      <w:r w:rsidR="00BE1B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BE1B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BE1B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B45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106A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106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106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F109D" w:rsidRPr="007B3F60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Milun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Trivunac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Ugrčić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vršilac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dužnosti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Vazura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licenciranje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stečajnih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upravnika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Tijana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Ljubisavljević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Agenciji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licenciranje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stečajnih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upravnika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Banović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pravne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Agenciji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licenciranje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stečajnih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upravnika</w:t>
      </w:r>
      <w:r w:rsidR="00F023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109D" w:rsidRPr="000A0E57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EF109D" w:rsidRDefault="00EF109D" w:rsidP="00EF10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109D" w:rsidRDefault="00D4375F" w:rsidP="00EF1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F109D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EF109D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F109D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EF109D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EF109D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109D" w:rsidRPr="000A0E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F109D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F109D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EF109D" w:rsidRPr="002F51BE" w:rsidRDefault="00EF109D" w:rsidP="00EF1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09D" w:rsidRDefault="00D4375F" w:rsidP="00EF109D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Predlog</w:t>
      </w:r>
      <w:r w:rsidR="00EF109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EF109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EF109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izmenama</w:t>
      </w:r>
      <w:r w:rsidR="00EF109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EF109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dopunama</w:t>
      </w:r>
      <w:r w:rsidR="00EF109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EF109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EF109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stečaju</w:t>
      </w:r>
      <w:r w:rsidR="00EF109D">
        <w:rPr>
          <w:rFonts w:cs="Times New Roman"/>
          <w:sz w:val="24"/>
          <w:szCs w:val="24"/>
        </w:rPr>
        <w:t>,</w:t>
      </w:r>
      <w:r w:rsidR="00356EF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 w:rsidR="00356EF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načelu</w:t>
      </w:r>
      <w:r w:rsidR="00356EF5">
        <w:rPr>
          <w:rFonts w:cs="Times New Roman"/>
          <w:sz w:val="24"/>
          <w:szCs w:val="24"/>
          <w:lang w:val="sr-Cyrl-RS"/>
        </w:rPr>
        <w:t>;</w:t>
      </w:r>
    </w:p>
    <w:p w:rsidR="00356EF5" w:rsidRDefault="00D4375F" w:rsidP="00EF109D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Razno</w:t>
      </w:r>
      <w:r w:rsidR="00356EF5">
        <w:rPr>
          <w:rFonts w:cs="Times New Roman"/>
          <w:sz w:val="24"/>
          <w:szCs w:val="24"/>
          <w:lang w:val="sr-Cyrl-RS"/>
        </w:rPr>
        <w:t>.</w:t>
      </w:r>
    </w:p>
    <w:p w:rsidR="00EF109D" w:rsidRDefault="00EF109D" w:rsidP="00EF10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09D" w:rsidRDefault="00D4375F" w:rsidP="00EF10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EF1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EF1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F1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F109D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="00EF109D" w:rsidRPr="00FB6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EF109D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EF109D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EF109D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EF109D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EF109D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EF109D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EF109D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EF109D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EF109D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stečaju</w:t>
      </w:r>
      <w:r w:rsidR="00EF109D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EF109D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</w:p>
    <w:p w:rsidR="00EF109D" w:rsidRDefault="00EF109D" w:rsidP="00EF10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E4E5A" w:rsidRDefault="00EF109D" w:rsidP="00EF109D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E040C" w:rsidRDefault="002D1A9F" w:rsidP="002D1A9F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1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EF1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EF1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Milun</w:t>
      </w:r>
      <w:r w:rsidR="00895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Trivunac</w:t>
      </w:r>
      <w:r w:rsidR="00EF10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895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895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5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895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1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EF1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1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1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1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cilj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F1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F1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F109D" w:rsidRP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EF109D" w:rsidRP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109D" w:rsidRP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EF109D" w:rsidRP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F109D" w:rsidRP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F109D" w:rsidRP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805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4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44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A44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A44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stepen</w:t>
      </w:r>
      <w:r w:rsidR="00A44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namirenja</w:t>
      </w:r>
      <w:r w:rsidR="00A44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poverilaca</w:t>
      </w:r>
      <w:r w:rsidR="00A442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smanje</w:t>
      </w:r>
      <w:r w:rsidR="00A44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troškovi</w:t>
      </w:r>
      <w:r w:rsidR="00A44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4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skrati</w:t>
      </w:r>
      <w:r w:rsidR="00A44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trajanje</w:t>
      </w:r>
      <w:r w:rsidR="00A44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A442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Predložene</w:t>
      </w:r>
      <w:r w:rsidR="00A44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A44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4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A44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postojećih</w:t>
      </w:r>
      <w:r w:rsidR="00D0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D0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0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0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fokusom</w:t>
      </w:r>
      <w:r w:rsidR="00D0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0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poboljšanje</w:t>
      </w:r>
      <w:r w:rsidR="00D0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D0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="00776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založnih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poverilaca</w:t>
      </w:r>
      <w:r w:rsidR="00776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6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776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reorganizacije</w:t>
      </w:r>
      <w:r w:rsidR="00776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6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bankrotstva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6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76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6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527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preciziranje</w:t>
      </w:r>
      <w:r w:rsidR="00527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prvila</w:t>
      </w:r>
      <w:r w:rsidR="00527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nameri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27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527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ubrza</w:t>
      </w:r>
      <w:r w:rsidR="00527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7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učini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prividljivijim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učesnike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Obezbeđeni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poverioci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hipoteke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založna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imovini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stečajnog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dužnika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stiču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predstavnka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poverilaca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rezervisano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neobezbeđene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poverioce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tok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vođenju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samog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23075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87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A87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7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7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C801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radnje</w:t>
      </w:r>
      <w:r w:rsidR="00A87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7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5F00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F0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F0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0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izdavanje</w:t>
      </w:r>
      <w:r w:rsidR="005F0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F0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zakup</w:t>
      </w:r>
      <w:r w:rsidR="005F0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5F0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5F0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hipotekom</w:t>
      </w:r>
      <w:r w:rsidR="005F0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5F0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njena</w:t>
      </w:r>
      <w:r w:rsidR="005F0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prodaja</w:t>
      </w:r>
      <w:r w:rsidR="005F0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5A6019" w:rsidRPr="005A60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5F0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oglašavanja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F0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1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preduzimaju</w:t>
      </w:r>
      <w:r w:rsidR="001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1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1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1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obezbeđenog</w:t>
      </w:r>
      <w:r w:rsidR="001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poverioca</w:t>
      </w:r>
      <w:r w:rsidR="001752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23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razliku</w:t>
      </w:r>
      <w:r w:rsidR="00423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23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dosadašnjih</w:t>
      </w:r>
      <w:r w:rsidR="00423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pravila</w:t>
      </w:r>
      <w:r w:rsidR="00423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stečajni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upravnik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diskreciono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odlučuje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1752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A60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prodaji</w:t>
      </w:r>
      <w:r w:rsidR="00423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1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423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423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3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imovina</w:t>
      </w:r>
      <w:r w:rsidR="00C91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C91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hipotekama</w:t>
      </w:r>
      <w:r w:rsidR="00423E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23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423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23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stečajni</w:t>
      </w:r>
      <w:r w:rsidR="00EF6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upravnik</w:t>
      </w:r>
      <w:r w:rsidR="00EF6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usaglašavao</w:t>
      </w:r>
      <w:r w:rsidR="00423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EF6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 w:rsidR="00423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poverilaca</w:t>
      </w:r>
      <w:r w:rsidR="00423E5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F6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Dodatna</w:t>
      </w:r>
      <w:r w:rsidR="00EF6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pravila</w:t>
      </w:r>
      <w:r w:rsidR="00C91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91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načinu</w:t>
      </w:r>
      <w:r w:rsidR="00C91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procenjivanja</w:t>
      </w:r>
      <w:r w:rsidR="00C91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C91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1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C91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stečaja</w:t>
      </w:r>
      <w:r w:rsidR="00C91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91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precizirana</w:t>
      </w:r>
      <w:r w:rsidR="00C91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1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vezana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licencirane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procenitelje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C91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91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C91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1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91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doprinese</w:t>
      </w:r>
      <w:r w:rsidR="00C91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pravnoj</w:t>
      </w:r>
      <w:r w:rsidR="00070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sigurnosti</w:t>
      </w:r>
      <w:r w:rsidR="00070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0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većoj</w:t>
      </w:r>
      <w:r w:rsidR="00070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verodostojnosti</w:t>
      </w:r>
      <w:r w:rsidR="00070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procene</w:t>
      </w:r>
      <w:r w:rsidR="00070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070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70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Direktan</w:t>
      </w:r>
      <w:r w:rsidR="00070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uticaj</w:t>
      </w:r>
      <w:r w:rsidR="00070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70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poverilaca</w:t>
      </w:r>
      <w:r w:rsidR="00EF6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6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F6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brže</w:t>
      </w:r>
      <w:r w:rsidR="00EF6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unovčenje</w:t>
      </w:r>
      <w:r w:rsidR="00796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796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D3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procena</w:t>
      </w:r>
      <w:r w:rsidR="00EF6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EF6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EF6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tržišnim</w:t>
      </w:r>
      <w:r w:rsidR="00EF6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cenama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nerealno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visokim</w:t>
      </w:r>
      <w:r w:rsidR="00796D9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796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796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novina</w:t>
      </w:r>
      <w:r w:rsidR="00796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6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razrada</w:t>
      </w:r>
      <w:r w:rsidR="00796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postojećih</w:t>
      </w:r>
      <w:r w:rsidR="00796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pravila</w:t>
      </w:r>
      <w:r w:rsidR="00796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ukidanju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zabrane</w:t>
      </w:r>
      <w:r w:rsidR="00796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izvršenja</w:t>
      </w:r>
      <w:r w:rsidR="00796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imovini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stečajnog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dužnika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hipotekom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zalogom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obezbeđenom</w:t>
      </w:r>
      <w:r w:rsidR="00B32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poveriocu</w:t>
      </w:r>
      <w:r w:rsidR="00B32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2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proda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pravilima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važe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hipotekarne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prodaje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Takvo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obezbeđenih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poverilaca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45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B32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B32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32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 w:rsidR="00B32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32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strogo</w:t>
      </w:r>
      <w:r w:rsidR="00B32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propisani</w:t>
      </w:r>
      <w:r w:rsidR="00B32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32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B32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2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B32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efikasnije</w:t>
      </w:r>
      <w:r w:rsidR="00B32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unovčenje</w:t>
      </w:r>
      <w:r w:rsidR="00B32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B32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hipotekom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zalogom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Obezbeđni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poverilac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stiče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imovinu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stečajni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upravnik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proda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proglašenja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bankrota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sprečavanja</w:t>
      </w:r>
      <w:r w:rsidR="00D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blokade</w:t>
      </w:r>
      <w:r w:rsidR="00870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870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stečaja</w:t>
      </w:r>
      <w:r w:rsidR="00870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870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obezbeđeni</w:t>
      </w:r>
      <w:r w:rsidR="00870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poverilac</w:t>
      </w:r>
      <w:r w:rsidR="00870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70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proda</w:t>
      </w:r>
      <w:r w:rsidR="00870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imovinu</w:t>
      </w:r>
      <w:r w:rsidR="00870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0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870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70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870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13F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stečajni</w:t>
      </w:r>
      <w:r w:rsidR="00613F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upravnik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ponovo</w:t>
      </w:r>
      <w:r w:rsidR="00000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preuzima</w:t>
      </w:r>
      <w:r w:rsidR="00000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000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0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000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0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0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unovči</w:t>
      </w:r>
      <w:r w:rsidR="00000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000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pravilima</w:t>
      </w:r>
      <w:r w:rsidR="00000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stečaja</w:t>
      </w:r>
      <w:r w:rsidR="0000076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77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477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477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stečaja</w:t>
      </w:r>
      <w:r w:rsidR="00477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7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ubrzava</w:t>
      </w:r>
      <w:r w:rsidR="00477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477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77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7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77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477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pravilima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7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79D5">
        <w:rPr>
          <w:rFonts w:ascii="Times New Roman" w:hAnsi="Times New Roman" w:cs="Times New Roman"/>
          <w:sz w:val="24"/>
          <w:szCs w:val="24"/>
          <w:lang w:val="sr-Cyrl-RS"/>
        </w:rPr>
        <w:t xml:space="preserve">50%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567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neobezbeđenih</w:t>
      </w:r>
      <w:r w:rsidR="00567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poverilaca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proglasi</w:t>
      </w:r>
      <w:r w:rsidR="002D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bankrotstvo</w:t>
      </w:r>
      <w:r w:rsidR="002648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2648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isteka</w:t>
      </w:r>
      <w:r w:rsidR="002648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rokova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reorganizaciju</w:t>
      </w:r>
      <w:r w:rsidR="005679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67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razliku</w:t>
      </w:r>
      <w:r w:rsidR="00567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67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567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zahtevanih</w:t>
      </w:r>
      <w:r w:rsidR="005679D5">
        <w:rPr>
          <w:rFonts w:ascii="Times New Roman" w:hAnsi="Times New Roman" w:cs="Times New Roman"/>
          <w:sz w:val="24"/>
          <w:szCs w:val="24"/>
          <w:lang w:val="sr-Cyrl-RS"/>
        </w:rPr>
        <w:t xml:space="preserve"> 70%.</w:t>
      </w:r>
      <w:r w:rsidR="002648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2648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648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648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48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2648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648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firme</w:t>
      </w:r>
      <w:r w:rsidR="002648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2648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2648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7E0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poverilaca</w:t>
      </w:r>
      <w:r w:rsidR="007E0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0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pokušaj</w:t>
      </w:r>
      <w:r w:rsidR="007E0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reorganizacije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odmah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idu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fazu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bankrotstva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E0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7E0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0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E0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brže</w:t>
      </w:r>
      <w:r w:rsidR="007E0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pristupi</w:t>
      </w:r>
      <w:r w:rsidR="007E0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unovčavanju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dužnika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Rokovi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A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2A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reorganizacije</w:t>
      </w:r>
      <w:r w:rsidR="002A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2A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A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skraćeni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preciznije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uređen</w:t>
      </w:r>
      <w:r w:rsidR="002A05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2A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2A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2A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A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2A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="002A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2A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podnetog</w:t>
      </w:r>
      <w:r w:rsidR="002A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A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2A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reorganizacije</w:t>
      </w:r>
      <w:r w:rsidR="00580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580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glasanja</w:t>
      </w:r>
      <w:r w:rsidR="00580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poverilaca</w:t>
      </w:r>
      <w:r w:rsidR="00580F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80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80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80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580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0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doprinese</w:t>
      </w:r>
      <w:r w:rsidR="00580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većoj</w:t>
      </w:r>
      <w:r w:rsidR="00580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580F2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80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580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580F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044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pravila</w:t>
      </w:r>
      <w:r w:rsidR="00044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omogućavaju</w:t>
      </w:r>
      <w:r w:rsidR="00044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lakše</w:t>
      </w:r>
      <w:r w:rsidR="00044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044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dužnika</w:t>
      </w:r>
      <w:r w:rsidR="00044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44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044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44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reogranizaciji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4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44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4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44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575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5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uspešnost</w:t>
      </w:r>
      <w:r w:rsidR="00575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sprečavanja</w:t>
      </w:r>
      <w:r w:rsidR="00575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gašenja</w:t>
      </w:r>
      <w:r w:rsidR="00575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dužnika</w:t>
      </w:r>
      <w:r w:rsidR="00575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5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5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zadržavanje</w:t>
      </w:r>
      <w:r w:rsidR="00575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575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5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575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CA44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Dodatna</w:t>
      </w:r>
      <w:r w:rsidR="00C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83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83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zajmova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uzetih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stečajnom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3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83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3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83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bankama</w:t>
      </w:r>
      <w:r w:rsidR="0083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83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zajmodavcima</w:t>
      </w:r>
      <w:r w:rsidR="0083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3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lakše</w:t>
      </w:r>
      <w:r w:rsidR="0083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odobravaju</w:t>
      </w:r>
      <w:r w:rsidR="0083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takve</w:t>
      </w:r>
      <w:r w:rsidR="0083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kredite</w:t>
      </w:r>
      <w:r w:rsidR="004103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03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zajmove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103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103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103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4103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103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4103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4103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02263" w:rsidRDefault="00102263" w:rsidP="002D1A9F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2263" w:rsidRDefault="008D395E" w:rsidP="0010226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0226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8069D" w:rsidRDefault="0068069D" w:rsidP="006806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3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8D3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D3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predložene</w:t>
      </w:r>
      <w:r w:rsidR="008D3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8D3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3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8D3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D3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8D3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zasnovane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71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iskustvu</w:t>
      </w:r>
      <w:r w:rsidR="00971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971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71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okruženju</w:t>
      </w:r>
      <w:r w:rsidR="00971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971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šire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A7256F">
        <w:rPr>
          <w:rFonts w:ascii="Times New Roman" w:hAnsi="Times New Roman" w:cs="Times New Roman"/>
          <w:sz w:val="24"/>
          <w:szCs w:val="24"/>
          <w:lang w:val="sr-Latn-RS"/>
        </w:rPr>
        <w:t>k</w:t>
      </w:r>
      <w:r w:rsidR="00A7256F">
        <w:rPr>
          <w:rFonts w:ascii="Times New Roman" w:hAnsi="Times New Roman" w:cs="Times New Roman"/>
          <w:sz w:val="24"/>
          <w:szCs w:val="24"/>
        </w:rPr>
        <w:t>now how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>“)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8069D" w:rsidRDefault="0068069D" w:rsidP="006806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određuje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plate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stečajnih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upravnika</w:t>
      </w:r>
      <w:r w:rsidR="001505F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16D0A" w:rsidRDefault="00E16D0A" w:rsidP="006806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D3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8D3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stečajni</w:t>
      </w:r>
      <w:r w:rsidR="00176D3E" w:rsidRPr="008D3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upravnik</w:t>
      </w:r>
      <w:r w:rsidR="00176D3E" w:rsidRPr="008D3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8D3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color w:val="000000"/>
          <w:sz w:val="24"/>
          <w:szCs w:val="24"/>
        </w:rPr>
        <w:t>vodi</w:t>
      </w:r>
      <w:r w:rsidR="00D437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ti</w:t>
      </w:r>
      <w:r w:rsidR="008D395E" w:rsidRPr="008D39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/>
          <w:sz w:val="24"/>
          <w:szCs w:val="24"/>
        </w:rPr>
        <w:t>poslove</w:t>
      </w:r>
      <w:r w:rsidR="008D395E" w:rsidRPr="008D39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D395E" w:rsidRPr="008D39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/>
          <w:sz w:val="24"/>
          <w:szCs w:val="24"/>
        </w:rPr>
        <w:t>zastupa</w:t>
      </w:r>
      <w:r w:rsidR="00D437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ti</w:t>
      </w:r>
      <w:r w:rsidR="00A7256F" w:rsidRPr="008D3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8D3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1505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355C" w:rsidRDefault="0014355C" w:rsidP="006806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upravnika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vodio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zastupao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ogromnom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imovinom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Astra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banku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>“, „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BK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Kompaniju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postupaka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prosečno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primao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mesečnu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nagradu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hiljade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dozvoljavao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zaposlenima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iznesu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lične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49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porodične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fotografije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8656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organizuju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putovanja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simpozijume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celom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49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349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navodno</w:t>
      </w:r>
      <w:r w:rsidR="000349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upoznaju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primerima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stečaja</w:t>
      </w:r>
      <w:r w:rsidR="000349F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50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našoj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3525" w:rsidRDefault="00AD3525" w:rsidP="00AD3525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2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Svetska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visoku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ocenu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okvira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postavljen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E2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2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6E2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E273B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E27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6E2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problematika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E2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kvalitetu</w:t>
      </w:r>
      <w:r w:rsidR="006E2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njegovoj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implementaciji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Poboljšanja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pohvalu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težiti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poboljšanja</w:t>
      </w:r>
      <w:r w:rsidR="006E2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prilagode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svetskoj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iskustvima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dosadašnjoj</w:t>
      </w:r>
      <w:r w:rsidR="006E2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6E27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oblika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bankrotstvo</w:t>
      </w:r>
      <w:r w:rsidR="0054165A">
        <w:rPr>
          <w:rFonts w:ascii="Times New Roman" w:hAnsi="Times New Roman" w:cs="Times New Roman"/>
          <w:sz w:val="24"/>
          <w:szCs w:val="24"/>
          <w:lang w:val="sr-Cyrl-RS"/>
        </w:rPr>
        <w:t xml:space="preserve"> ,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" w:hAnsi="Times"/>
          <w:color w:val="000000"/>
          <w:sz w:val="24"/>
          <w:szCs w:val="24"/>
        </w:rPr>
        <w:t>podrazumeva</w:t>
      </w:r>
      <w:r w:rsidR="0054165A">
        <w:rPr>
          <w:rFonts w:ascii="Times" w:hAnsi="Times"/>
          <w:color w:val="000000"/>
          <w:sz w:val="24"/>
          <w:szCs w:val="24"/>
        </w:rPr>
        <w:t xml:space="preserve"> </w:t>
      </w:r>
      <w:r w:rsidR="00D4375F">
        <w:rPr>
          <w:rFonts w:ascii="Times" w:hAnsi="Times"/>
          <w:color w:val="000000"/>
          <w:sz w:val="24"/>
          <w:szCs w:val="24"/>
        </w:rPr>
        <w:t>namirenje</w:t>
      </w:r>
      <w:r w:rsidR="0054165A">
        <w:rPr>
          <w:rFonts w:ascii="Times" w:hAnsi="Times"/>
          <w:color w:val="000000"/>
          <w:sz w:val="24"/>
          <w:szCs w:val="24"/>
        </w:rPr>
        <w:t xml:space="preserve"> </w:t>
      </w:r>
      <w:r w:rsidR="00D4375F">
        <w:rPr>
          <w:rFonts w:ascii="Times" w:hAnsi="Times"/>
          <w:color w:val="000000"/>
          <w:sz w:val="24"/>
          <w:szCs w:val="24"/>
        </w:rPr>
        <w:t>poverilaca</w:t>
      </w:r>
      <w:r w:rsidR="0054165A">
        <w:rPr>
          <w:rFonts w:ascii="Times" w:hAnsi="Times"/>
          <w:color w:val="000000"/>
          <w:sz w:val="24"/>
          <w:szCs w:val="24"/>
        </w:rPr>
        <w:t xml:space="preserve"> </w:t>
      </w:r>
      <w:r w:rsidR="00D4375F">
        <w:rPr>
          <w:rFonts w:ascii="Times" w:hAnsi="Times"/>
          <w:color w:val="000000"/>
          <w:sz w:val="24"/>
          <w:szCs w:val="24"/>
        </w:rPr>
        <w:t>prodajom</w:t>
      </w:r>
      <w:r w:rsidR="0054165A">
        <w:rPr>
          <w:rFonts w:ascii="Times" w:hAnsi="Times"/>
          <w:color w:val="000000"/>
          <w:sz w:val="24"/>
          <w:szCs w:val="24"/>
        </w:rPr>
        <w:t xml:space="preserve"> </w:t>
      </w:r>
      <w:r w:rsidR="00D4375F">
        <w:rPr>
          <w:rFonts w:ascii="Times" w:hAnsi="Times"/>
          <w:color w:val="000000"/>
          <w:sz w:val="24"/>
          <w:szCs w:val="24"/>
        </w:rPr>
        <w:t>celokupne</w:t>
      </w:r>
      <w:r w:rsidR="0054165A">
        <w:rPr>
          <w:rFonts w:ascii="Times" w:hAnsi="Times"/>
          <w:color w:val="000000"/>
          <w:sz w:val="24"/>
          <w:szCs w:val="24"/>
        </w:rPr>
        <w:t xml:space="preserve"> </w:t>
      </w:r>
      <w:r w:rsidR="00D4375F">
        <w:rPr>
          <w:rFonts w:ascii="Times" w:hAnsi="Times"/>
          <w:color w:val="000000"/>
          <w:sz w:val="24"/>
          <w:szCs w:val="24"/>
        </w:rPr>
        <w:t>imovine</w:t>
      </w:r>
      <w:r w:rsidR="0054165A">
        <w:rPr>
          <w:rFonts w:ascii="Times" w:hAnsi="Times"/>
          <w:color w:val="000000"/>
          <w:sz w:val="24"/>
          <w:szCs w:val="24"/>
        </w:rPr>
        <w:t xml:space="preserve"> </w:t>
      </w:r>
      <w:r w:rsidR="00D4375F">
        <w:rPr>
          <w:rFonts w:ascii="Times" w:hAnsi="Times"/>
          <w:color w:val="000000"/>
          <w:sz w:val="24"/>
          <w:szCs w:val="24"/>
        </w:rPr>
        <w:t>stečajnog</w:t>
      </w:r>
      <w:r w:rsidR="0054165A">
        <w:rPr>
          <w:rFonts w:ascii="Times" w:hAnsi="Times"/>
          <w:color w:val="000000"/>
          <w:sz w:val="24"/>
          <w:szCs w:val="24"/>
        </w:rPr>
        <w:t xml:space="preserve"> </w:t>
      </w:r>
      <w:r w:rsidR="00D4375F">
        <w:rPr>
          <w:rFonts w:ascii="Times" w:hAnsi="Times"/>
          <w:color w:val="000000"/>
          <w:sz w:val="24"/>
          <w:szCs w:val="24"/>
        </w:rPr>
        <w:t>dužnika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oblik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reoragnizacija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subjekte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interesantan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oblik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reorganizacije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unapred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pripremljenim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reorganizacije</w:t>
      </w:r>
      <w:r w:rsidR="0054165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="00541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541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41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donešeni</w:t>
      </w:r>
      <w:r w:rsidR="0054165A">
        <w:rPr>
          <w:rFonts w:ascii="Times New Roman" w:hAnsi="Times New Roman" w:cs="Times New Roman"/>
          <w:sz w:val="24"/>
          <w:szCs w:val="24"/>
          <w:lang w:val="sr-Cyrl-RS"/>
        </w:rPr>
        <w:t xml:space="preserve"> 2004.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1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2009.</w:t>
      </w:r>
      <w:r w:rsidR="00541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416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41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41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416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41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541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41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intenciji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stalno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prilagođava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aktuelnoj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situaciji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istaknuta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transparentnost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vođenju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istaknuta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poboljšanja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uloge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poverioca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razlučnih</w:t>
      </w:r>
      <w:r w:rsidR="00541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poverilaca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stavljeni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svojevrsnu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unapređuju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stabilnost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celom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učinjen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trud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smanje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troškovi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stečajnog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reorganizacije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subjekte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poboljša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Privredni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subjekti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dvostruki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aršin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UPPR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ozbiljnim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namerama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UPPR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iskoristi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ubrzanje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pojefitnjenje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reorganizacije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vezan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odlaganje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posupka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restrukturiranja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izbegavanje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bankrotstva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suziti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takve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manipulacije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velikih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naklonjen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poveriocima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dužnicima</w:t>
      </w:r>
      <w:r w:rsidR="00A841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Slabost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našeg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6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6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446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naklonjen</w:t>
      </w:r>
      <w:r w:rsidR="00446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dužnicima</w:t>
      </w:r>
      <w:r w:rsidR="0044671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sprečiti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zloupotrebe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pravcu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različito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ponaša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donošenju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okvira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Naveden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UPPR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RTB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konstantno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pozitivu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tekućeg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pokrivati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nastaju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uslov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uslovni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otpust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izuzetna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povoljnost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UPPR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CA26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registre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negativno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poslovalo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54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70FBD" w:rsidRP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UPPR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prikazano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UPPR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kontradiktorne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Napomenuto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takav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postupci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ukolope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predviđeni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suština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uložiti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napora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UPPR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velikim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8F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subjektima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zaista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sprovede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učiniti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UPPR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sprovede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kvalitetan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kadar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osmisli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dobru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strategiju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napravi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čvrstu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implementacije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restrukturiranja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vršiti</w:t>
      </w:r>
      <w:r w:rsidR="00FD3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ogromnim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posledicama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mogu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nastati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nesprovođenjem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UPPR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značajnih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paralelno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naporima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poboljšanje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stepen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napora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70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implementaciju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krajnji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pozitivan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Suština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reoraganizacije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isteku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roka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predviđenog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UPPR</w:t>
      </w:r>
      <w:r w:rsidR="002D269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2D26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D2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2D2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izađe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čvrsta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stabilna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pokrivati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tekućeg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ojačana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izaći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3525" w:rsidRDefault="00AD3525" w:rsidP="00AD35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3525" w:rsidRDefault="00AD3525" w:rsidP="006806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6589" w:rsidRDefault="00CF0BEB" w:rsidP="006806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E37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37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E37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D2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Milun</w:t>
      </w:r>
      <w:r w:rsidR="002D2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Trivunac</w:t>
      </w:r>
      <w:r w:rsidR="002D26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2D2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2D2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269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2D2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2D26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E37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7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37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37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A7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korišćene</w:t>
      </w:r>
      <w:r w:rsidR="00E37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najbolje</w:t>
      </w:r>
      <w:r w:rsidR="00354C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3C619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80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80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0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pripreman</w:t>
      </w:r>
      <w:r w:rsidR="00F80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0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A334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F4C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="002F4C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monetarnim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fondom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MMF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sklopu</w:t>
      </w:r>
      <w:r w:rsidR="00A334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540D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A334EE">
        <w:rPr>
          <w:rFonts w:ascii="Times New Roman" w:hAnsi="Times New Roman" w:cs="Times New Roman"/>
          <w:sz w:val="24"/>
          <w:szCs w:val="24"/>
        </w:rPr>
        <w:t>stand by</w:t>
      </w:r>
      <w:r w:rsidR="0098540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334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aranžmana</w:t>
      </w:r>
      <w:r w:rsidR="003C61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4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934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934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4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30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30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količine</w:t>
      </w:r>
      <w:r w:rsidR="0030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nenaplativih</w:t>
      </w:r>
      <w:r w:rsidR="0030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05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5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5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javljaju</w:t>
      </w:r>
      <w:r w:rsidR="0005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bankarskom</w:t>
      </w:r>
      <w:r w:rsidR="0005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1508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50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150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0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="00150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150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50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imale</w:t>
      </w:r>
      <w:r w:rsidR="00150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0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150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0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50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Svetska</w:t>
      </w:r>
      <w:r w:rsidR="00F80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F80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0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MMF</w:t>
      </w:r>
      <w:r w:rsidR="00F80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ocenili</w:t>
      </w:r>
      <w:r w:rsidR="003C6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6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6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3C6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6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3C6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2A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A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alata</w:t>
      </w:r>
      <w:r w:rsidR="002A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A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A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A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pruži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veću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poveriocima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samim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9D5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odblokira</w:t>
      </w:r>
      <w:r w:rsidR="00E379D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bankarski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F80DA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brži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efikasniji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EA4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plasirale</w:t>
      </w:r>
      <w:r w:rsidR="003C6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3C6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="003C619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Stečajni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upravnik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platu</w:t>
      </w:r>
      <w:r w:rsidR="003C6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mesečnu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zaradu</w:t>
      </w:r>
      <w:r w:rsidR="003C61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3C6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3C6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6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nagradu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Stečajni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upravnici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radnom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isključivo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delatnošću</w:t>
      </w:r>
      <w:r w:rsidR="00FC4E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80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visina</w:t>
      </w:r>
      <w:r w:rsidR="00F80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nagrade</w:t>
      </w:r>
      <w:r w:rsidR="00F6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regulisana</w:t>
      </w:r>
      <w:r w:rsidR="00F6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A70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0DA7">
        <w:rPr>
          <w:rFonts w:ascii="Times New Roman" w:hAnsi="Times New Roman" w:cs="Times New Roman"/>
          <w:sz w:val="24"/>
          <w:szCs w:val="24"/>
          <w:lang w:val="sr-Cyrl-RS"/>
        </w:rPr>
        <w:t xml:space="preserve">34.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A700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A700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podzakonskim</w:t>
      </w:r>
      <w:r w:rsidR="00A70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aktom</w:t>
      </w:r>
      <w:r w:rsidR="00A70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70060" w:rsidRPr="006D6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" w:hAnsi="Times"/>
          <w:color w:val="000000"/>
          <w:sz w:val="24"/>
          <w:szCs w:val="24"/>
        </w:rPr>
        <w:t>osnovama</w:t>
      </w:r>
      <w:r w:rsidR="006D6345" w:rsidRPr="006D6345">
        <w:rPr>
          <w:rFonts w:ascii="Times" w:hAnsi="Times"/>
          <w:color w:val="000000"/>
          <w:sz w:val="24"/>
          <w:szCs w:val="24"/>
        </w:rPr>
        <w:t xml:space="preserve"> </w:t>
      </w:r>
      <w:r w:rsidR="00D4375F">
        <w:rPr>
          <w:rFonts w:ascii="Times" w:hAnsi="Times"/>
          <w:color w:val="000000"/>
          <w:sz w:val="24"/>
          <w:szCs w:val="24"/>
        </w:rPr>
        <w:t>i</w:t>
      </w:r>
      <w:r w:rsidR="006D6345" w:rsidRPr="006D6345">
        <w:rPr>
          <w:rFonts w:ascii="Times" w:hAnsi="Times"/>
          <w:color w:val="000000"/>
          <w:sz w:val="24"/>
          <w:szCs w:val="24"/>
        </w:rPr>
        <w:t xml:space="preserve"> </w:t>
      </w:r>
      <w:r w:rsidR="00D4375F">
        <w:rPr>
          <w:rFonts w:ascii="Times" w:hAnsi="Times"/>
          <w:color w:val="000000"/>
          <w:sz w:val="24"/>
          <w:szCs w:val="24"/>
        </w:rPr>
        <w:t>merilima</w:t>
      </w:r>
      <w:r w:rsidR="006D6345" w:rsidRPr="006D6345">
        <w:rPr>
          <w:rFonts w:ascii="Times" w:hAnsi="Times"/>
          <w:color w:val="000000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0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A70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nagrade</w:t>
      </w:r>
      <w:r w:rsidR="00FD3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stečajnog</w:t>
      </w:r>
      <w:r w:rsidR="00A70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upravnika</w:t>
      </w:r>
      <w:r w:rsidR="006D63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D3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FD3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FD3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6D634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="00FD3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5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35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snazi</w:t>
      </w:r>
      <w:r w:rsidR="00235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235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35AA4">
        <w:rPr>
          <w:rFonts w:ascii="Times New Roman" w:hAnsi="Times New Roman" w:cs="Times New Roman"/>
          <w:sz w:val="24"/>
          <w:szCs w:val="24"/>
          <w:lang w:val="sr-Cyrl-RS"/>
        </w:rPr>
        <w:t xml:space="preserve"> 2005.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35AA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F0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F0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D6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uvedene</w:t>
      </w:r>
      <w:r w:rsidR="004F0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novine</w:t>
      </w:r>
      <w:r w:rsidR="004F0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0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stečajnom</w:t>
      </w:r>
      <w:r w:rsidR="004F0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zakonodavstvu</w:t>
      </w:r>
      <w:r w:rsidR="004F0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0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D6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F0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0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stečajni</w:t>
      </w:r>
      <w:r w:rsidR="004F0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upravnik</w:t>
      </w:r>
      <w:r w:rsidR="004F0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licencirano</w:t>
      </w:r>
      <w:r w:rsidR="00BF13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mesečna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stečajni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upravnik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35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6D6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koliki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njegov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uspeh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unovčenju</w:t>
      </w:r>
      <w:r w:rsidR="006D6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stečajne</w:t>
      </w:r>
      <w:r w:rsidR="006D6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mase</w:t>
      </w:r>
      <w:r w:rsidR="006D6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namirenju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poverilaca</w:t>
      </w:r>
      <w:r w:rsidR="006D63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235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kriterijumi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određuje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visina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njegove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nagrade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6D6345" w:rsidRPr="006D6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mesečno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ostvaruju</w:t>
      </w:r>
      <w:r w:rsidR="00A13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preliminarne</w:t>
      </w:r>
      <w:r w:rsidR="00517B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nagrade</w:t>
      </w:r>
      <w:r w:rsidR="00517B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17B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određuje</w:t>
      </w:r>
      <w:r w:rsidR="00235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235A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35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6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235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izbija</w:t>
      </w:r>
      <w:r w:rsidR="00517B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17B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nagrade</w:t>
      </w:r>
      <w:r w:rsidR="00517B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517B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stečajni</w:t>
      </w:r>
      <w:r w:rsidR="00143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upravnik</w:t>
      </w:r>
      <w:r w:rsidR="00143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ostvaruje</w:t>
      </w:r>
      <w:r w:rsidR="00517B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17B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517B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sečajnog</w:t>
      </w:r>
      <w:r w:rsidR="00714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517B7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762EE" w:rsidRDefault="00903947" w:rsidP="006806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 w:rsidR="00891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Vazura</w:t>
      </w:r>
      <w:r w:rsidR="00891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891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891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91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licenciranje</w:t>
      </w:r>
      <w:r w:rsidR="00891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stečajnih</w:t>
      </w:r>
      <w:r w:rsidR="00891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upravnika</w:t>
      </w:r>
      <w:r w:rsidR="00AA38B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9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89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56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56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imenovanje</w:t>
      </w:r>
      <w:r w:rsidR="008656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stečajnih</w:t>
      </w:r>
      <w:r w:rsidR="008656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upravnika</w:t>
      </w:r>
      <w:r w:rsidR="00AA3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56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A3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predmeta</w:t>
      </w:r>
      <w:r w:rsidR="00AA3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A3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AA3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A3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dodeljuje</w:t>
      </w:r>
      <w:r w:rsidR="00D44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56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8656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8656C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376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D4375F">
        <w:rPr>
          <w:rFonts w:ascii="Times New Roman" w:hAnsi="Times New Roman" w:cs="Times New Roman"/>
          <w:color w:val="000000"/>
          <w:sz w:val="24"/>
          <w:szCs w:val="24"/>
        </w:rPr>
        <w:t>zbor</w:t>
      </w:r>
      <w:r w:rsidR="006A5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/>
          <w:sz w:val="24"/>
          <w:szCs w:val="24"/>
        </w:rPr>
        <w:t>stečajnog</w:t>
      </w:r>
      <w:r w:rsidR="006A5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/>
          <w:sz w:val="24"/>
          <w:szCs w:val="24"/>
        </w:rPr>
        <w:t>upravnika</w:t>
      </w:r>
      <w:r w:rsidR="006A5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/>
          <w:sz w:val="24"/>
          <w:szCs w:val="24"/>
        </w:rPr>
        <w:t>vrši</w:t>
      </w:r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/>
          <w:sz w:val="24"/>
          <w:szCs w:val="24"/>
        </w:rPr>
        <w:t>metodom</w:t>
      </w:r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/>
          <w:sz w:val="24"/>
          <w:szCs w:val="24"/>
        </w:rPr>
        <w:t>slučajnog</w:t>
      </w:r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/>
          <w:sz w:val="24"/>
          <w:szCs w:val="24"/>
        </w:rPr>
        <w:t>odabira</w:t>
      </w:r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/>
          <w:sz w:val="24"/>
          <w:szCs w:val="24"/>
        </w:rPr>
        <w:t>liste</w:t>
      </w:r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/>
          <w:sz w:val="24"/>
          <w:szCs w:val="24"/>
        </w:rPr>
        <w:t>aktivnih</w:t>
      </w:r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/>
          <w:sz w:val="24"/>
          <w:szCs w:val="24"/>
        </w:rPr>
        <w:t>stečajnih</w:t>
      </w:r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/>
          <w:sz w:val="24"/>
          <w:szCs w:val="24"/>
        </w:rPr>
        <w:t>upravnika</w:t>
      </w:r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/>
          <w:sz w:val="24"/>
          <w:szCs w:val="24"/>
        </w:rPr>
        <w:t>područje</w:t>
      </w:r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/>
          <w:sz w:val="24"/>
          <w:szCs w:val="24"/>
        </w:rPr>
        <w:t>suda</w:t>
      </w:r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4375F">
        <w:rPr>
          <w:rFonts w:ascii="Times New Roman" w:hAnsi="Times New Roman" w:cs="Times New Roman"/>
          <w:color w:val="000000"/>
          <w:sz w:val="24"/>
          <w:szCs w:val="24"/>
        </w:rPr>
        <w:t>koju</w:t>
      </w:r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/>
          <w:sz w:val="24"/>
          <w:szCs w:val="24"/>
        </w:rPr>
        <w:t>sudu</w:t>
      </w:r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/>
          <w:sz w:val="24"/>
          <w:szCs w:val="24"/>
        </w:rPr>
        <w:t>dostavlja</w:t>
      </w:r>
      <w:r w:rsidR="008656C6" w:rsidRPr="00AA7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Agencija</w:t>
      </w:r>
      <w:r w:rsidR="00A353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A04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Pravilniku</w:t>
      </w:r>
      <w:r w:rsid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načinu</w:t>
      </w:r>
      <w:r w:rsid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stečajnih</w:t>
      </w:r>
      <w:r w:rsid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upravnika</w:t>
      </w:r>
      <w:r w:rsid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metodom</w:t>
      </w:r>
      <w:r w:rsid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slučajnog</w:t>
      </w:r>
      <w:r w:rsid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odabira</w:t>
      </w:r>
      <w:r w:rsidR="006A52EA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stečajni</w:t>
      </w:r>
      <w:r w:rsid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upravnik</w:t>
      </w:r>
      <w:r w:rsidR="00A353E4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A353E4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A353E4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A353E4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3762EE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Latn-RS"/>
        </w:rPr>
        <w:t>odabirom</w:t>
      </w:r>
      <w:r w:rsidR="00A353E4" w:rsidRPr="00A353E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Latn-RS"/>
        </w:rPr>
        <w:t>računarskim</w:t>
      </w:r>
      <w:r w:rsidR="00A353E4" w:rsidRPr="00A353E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Latn-RS"/>
        </w:rPr>
        <w:t>putem</w:t>
      </w:r>
      <w:r w:rsidR="00A353E4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A353E4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A353E4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353E4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3762EE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62EE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3762EE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 50%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manja</w:t>
      </w:r>
      <w:r w:rsidR="003762EE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šansa</w:t>
      </w:r>
      <w:r w:rsidR="003762EE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62EE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A353E4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3762EE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625802" w:rsidRPr="00A353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258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258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stečaja</w:t>
      </w:r>
      <w:r w:rsid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banaka</w:t>
      </w:r>
      <w:r w:rsidR="00A353E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7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497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7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497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depozita</w:t>
      </w:r>
      <w:r w:rsidR="00A35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postavlja</w:t>
      </w:r>
      <w:r w:rsidR="00206A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E97A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3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D3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fizičko</w:t>
      </w:r>
      <w:r w:rsidR="00AD3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E97A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6880" w:rsidRDefault="00C36FCA" w:rsidP="006806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64B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A6880" w:rsidRDefault="00DA6880" w:rsidP="00DA688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AD35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AD35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 w:rsidR="00AD35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J</w:t>
      </w:r>
      <w:r w:rsidR="00AD35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AD352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Branisalav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AD35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AD35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D35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Milun</w:t>
      </w:r>
      <w:r w:rsidR="00AD35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Trivunac</w:t>
      </w:r>
      <w:r w:rsidR="00AD35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D35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 w:rsidR="00AD35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Vazura</w:t>
      </w:r>
      <w:r w:rsidR="00AD35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A6880" w:rsidRDefault="00DA6880" w:rsidP="00DA688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D13" w:rsidRDefault="00CB5D13" w:rsidP="00CB5D1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D4375F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4375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4375F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D4375F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D4375F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AA38B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B5D13" w:rsidRPr="00E251D4" w:rsidRDefault="00CB5D13" w:rsidP="00CB5D1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CB5D13" w:rsidRDefault="00CB5D13" w:rsidP="00CB5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46EC8" w:rsidRDefault="00046EC8" w:rsidP="00CB5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46EC8" w:rsidRDefault="00D4375F" w:rsidP="00046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046E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046E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46E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46EC8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="00046EC8" w:rsidRPr="00FB6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</w:p>
    <w:p w:rsidR="00046EC8" w:rsidRDefault="00046EC8" w:rsidP="00046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269E" w:rsidRDefault="00046EC8" w:rsidP="00083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AA5E3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A177C" w:rsidRPr="002B6C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A177C" w:rsidRPr="002B6C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A177C" w:rsidRPr="002B6C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="009A177C" w:rsidRPr="002B6C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A177C" w:rsidRPr="002B6C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A177C" w:rsidRPr="002B6C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Marinković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Parlamentarnog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plenuma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Energetske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zajednice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dobili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poziv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sastanak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Parlamentarnog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plenuma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EnZ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19.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Beču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sprečeni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učestvuju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sastanku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učestvuje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2D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upućena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dosadašnju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A3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Sekretarijatom</w:t>
      </w:r>
      <w:r w:rsidR="00AA3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Energetske</w:t>
      </w:r>
      <w:r w:rsidR="00AA3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zajednice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Pošto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delegaciju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pratiti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spoljne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delegacije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Mićin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nekoliko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puta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zamenjivao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D04F26" w:rsidRPr="002B6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Parlamentarnog</w:t>
      </w:r>
      <w:r w:rsidR="00EB77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plenuma</w:t>
      </w:r>
      <w:r w:rsidR="00EB77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EnZ</w:t>
      </w:r>
      <w:r w:rsidR="00EB77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B77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EB77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CS"/>
        </w:rPr>
        <w:t>sastancima</w:t>
      </w:r>
      <w:r w:rsidR="002D269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A38B5" w:rsidRPr="007B3F60" w:rsidRDefault="00AA38B5" w:rsidP="00083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B1E" w:rsidRDefault="00D4375F" w:rsidP="00CB5D13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D37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37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3D37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3708">
        <w:rPr>
          <w:rFonts w:ascii="Times New Roman" w:hAnsi="Times New Roman" w:cs="Times New Roman"/>
          <w:sz w:val="24"/>
          <w:szCs w:val="24"/>
          <w:lang w:val="sr-Cyrl-RS"/>
        </w:rPr>
        <w:t xml:space="preserve"> 8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3D37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3708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2D269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B5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CB5D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D269E" w:rsidRDefault="002D269E" w:rsidP="00CB5D13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269E" w:rsidRPr="002158FA" w:rsidRDefault="002D269E" w:rsidP="002D269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52B1E" w:rsidRDefault="00252B1E" w:rsidP="00CB5D13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D13" w:rsidRDefault="00CB5D13" w:rsidP="00CB5D13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D13" w:rsidRDefault="00252B1E" w:rsidP="00CB5D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CB5D1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 w:rsidR="00BF3BA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B5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B5D13" w:rsidRDefault="00CB5D13" w:rsidP="00CB5D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CB5D13" w:rsidRPr="0008525C" w:rsidRDefault="00CB5D13" w:rsidP="00252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252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  <w:r w:rsidR="00D4375F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4A019A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4A0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4A019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375F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</w:t>
      </w:r>
    </w:p>
    <w:p w:rsidR="000C648D" w:rsidRPr="00C43199" w:rsidRDefault="000C648D">
      <w:pPr>
        <w:rPr>
          <w:lang w:val="sr-Cyrl-RS"/>
        </w:rPr>
      </w:pPr>
    </w:p>
    <w:sectPr w:rsidR="000C648D" w:rsidRPr="00C43199" w:rsidSect="00B240E9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01" w:rsidRDefault="00AB3601">
      <w:pPr>
        <w:spacing w:after="0" w:line="240" w:lineRule="auto"/>
      </w:pPr>
      <w:r>
        <w:separator/>
      </w:r>
    </w:p>
  </w:endnote>
  <w:endnote w:type="continuationSeparator" w:id="0">
    <w:p w:rsidR="00AB3601" w:rsidRDefault="00AB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01" w:rsidRDefault="00AB3601">
      <w:pPr>
        <w:spacing w:after="0" w:line="240" w:lineRule="auto"/>
      </w:pPr>
      <w:r>
        <w:separator/>
      </w:r>
    </w:p>
  </w:footnote>
  <w:footnote w:type="continuationSeparator" w:id="0">
    <w:p w:rsidR="00AB3601" w:rsidRDefault="00AB3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8190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240E9" w:rsidRDefault="005762A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7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40E9" w:rsidRDefault="00AB36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9D"/>
    <w:rsid w:val="00000768"/>
    <w:rsid w:val="00001474"/>
    <w:rsid w:val="000349F8"/>
    <w:rsid w:val="00035594"/>
    <w:rsid w:val="00036C49"/>
    <w:rsid w:val="0004427A"/>
    <w:rsid w:val="00046C08"/>
    <w:rsid w:val="00046EC8"/>
    <w:rsid w:val="00055EA2"/>
    <w:rsid w:val="000611ED"/>
    <w:rsid w:val="00070B7C"/>
    <w:rsid w:val="00074ACC"/>
    <w:rsid w:val="00083A7D"/>
    <w:rsid w:val="00087E98"/>
    <w:rsid w:val="000964AE"/>
    <w:rsid w:val="000B30D7"/>
    <w:rsid w:val="000C648D"/>
    <w:rsid w:val="000C6DDE"/>
    <w:rsid w:val="000D1D59"/>
    <w:rsid w:val="000F2BEE"/>
    <w:rsid w:val="000F3243"/>
    <w:rsid w:val="00102263"/>
    <w:rsid w:val="00105F95"/>
    <w:rsid w:val="00106AB1"/>
    <w:rsid w:val="00111E11"/>
    <w:rsid w:val="001255A5"/>
    <w:rsid w:val="0014355C"/>
    <w:rsid w:val="001505FC"/>
    <w:rsid w:val="001508C7"/>
    <w:rsid w:val="00175234"/>
    <w:rsid w:val="00176D3E"/>
    <w:rsid w:val="00196FC9"/>
    <w:rsid w:val="001A1F99"/>
    <w:rsid w:val="001A70B9"/>
    <w:rsid w:val="001B168E"/>
    <w:rsid w:val="001E53EC"/>
    <w:rsid w:val="001E6136"/>
    <w:rsid w:val="001E6A5F"/>
    <w:rsid w:val="001F1710"/>
    <w:rsid w:val="001F4311"/>
    <w:rsid w:val="00200C40"/>
    <w:rsid w:val="00206AE8"/>
    <w:rsid w:val="00212802"/>
    <w:rsid w:val="0021555A"/>
    <w:rsid w:val="00224672"/>
    <w:rsid w:val="00225324"/>
    <w:rsid w:val="0023075A"/>
    <w:rsid w:val="00234A9D"/>
    <w:rsid w:val="00235AA4"/>
    <w:rsid w:val="002435C0"/>
    <w:rsid w:val="00245179"/>
    <w:rsid w:val="0025260A"/>
    <w:rsid w:val="00252B1E"/>
    <w:rsid w:val="00252EA7"/>
    <w:rsid w:val="00254D39"/>
    <w:rsid w:val="00264851"/>
    <w:rsid w:val="00265ACE"/>
    <w:rsid w:val="0029693F"/>
    <w:rsid w:val="002A0523"/>
    <w:rsid w:val="002A4D09"/>
    <w:rsid w:val="002A7B6D"/>
    <w:rsid w:val="002B6CAC"/>
    <w:rsid w:val="002D1A9F"/>
    <w:rsid w:val="002D269E"/>
    <w:rsid w:val="002D287A"/>
    <w:rsid w:val="002E1BED"/>
    <w:rsid w:val="002E4E5A"/>
    <w:rsid w:val="002E793D"/>
    <w:rsid w:val="002F4CD2"/>
    <w:rsid w:val="00301450"/>
    <w:rsid w:val="0030212D"/>
    <w:rsid w:val="00307952"/>
    <w:rsid w:val="00312DD6"/>
    <w:rsid w:val="00324EB4"/>
    <w:rsid w:val="00350E32"/>
    <w:rsid w:val="00354C8A"/>
    <w:rsid w:val="00356B90"/>
    <w:rsid w:val="00356EF5"/>
    <w:rsid w:val="00372D72"/>
    <w:rsid w:val="003762EE"/>
    <w:rsid w:val="003A6BD0"/>
    <w:rsid w:val="003B4101"/>
    <w:rsid w:val="003C6197"/>
    <w:rsid w:val="003C6D98"/>
    <w:rsid w:val="003D02B5"/>
    <w:rsid w:val="003D27B9"/>
    <w:rsid w:val="003D3708"/>
    <w:rsid w:val="003E106D"/>
    <w:rsid w:val="00410337"/>
    <w:rsid w:val="00423E55"/>
    <w:rsid w:val="004408B2"/>
    <w:rsid w:val="00441256"/>
    <w:rsid w:val="0044283D"/>
    <w:rsid w:val="00446710"/>
    <w:rsid w:val="004503F3"/>
    <w:rsid w:val="00457A9C"/>
    <w:rsid w:val="004776E1"/>
    <w:rsid w:val="00497504"/>
    <w:rsid w:val="004A019A"/>
    <w:rsid w:val="004A18BB"/>
    <w:rsid w:val="004B27BF"/>
    <w:rsid w:val="004B5F0F"/>
    <w:rsid w:val="004C0EC0"/>
    <w:rsid w:val="004C3530"/>
    <w:rsid w:val="004E0524"/>
    <w:rsid w:val="004E1C72"/>
    <w:rsid w:val="004F0BD6"/>
    <w:rsid w:val="00517B70"/>
    <w:rsid w:val="00527679"/>
    <w:rsid w:val="00532B23"/>
    <w:rsid w:val="0054165A"/>
    <w:rsid w:val="0056606D"/>
    <w:rsid w:val="00566A21"/>
    <w:rsid w:val="005679D5"/>
    <w:rsid w:val="00573DF0"/>
    <w:rsid w:val="005750C3"/>
    <w:rsid w:val="00575F1A"/>
    <w:rsid w:val="005762AD"/>
    <w:rsid w:val="00580F23"/>
    <w:rsid w:val="0059149F"/>
    <w:rsid w:val="00593319"/>
    <w:rsid w:val="005A2325"/>
    <w:rsid w:val="005A6019"/>
    <w:rsid w:val="005C6589"/>
    <w:rsid w:val="005D2BFD"/>
    <w:rsid w:val="005E2EB6"/>
    <w:rsid w:val="005F00F0"/>
    <w:rsid w:val="005F07F9"/>
    <w:rsid w:val="00613F37"/>
    <w:rsid w:val="00617053"/>
    <w:rsid w:val="006215D0"/>
    <w:rsid w:val="00625802"/>
    <w:rsid w:val="006319CE"/>
    <w:rsid w:val="00660B46"/>
    <w:rsid w:val="0068069D"/>
    <w:rsid w:val="006A29E4"/>
    <w:rsid w:val="006A4F8A"/>
    <w:rsid w:val="006A52EA"/>
    <w:rsid w:val="006B2B55"/>
    <w:rsid w:val="006D6345"/>
    <w:rsid w:val="006E273B"/>
    <w:rsid w:val="0070421F"/>
    <w:rsid w:val="007114D0"/>
    <w:rsid w:val="007145B8"/>
    <w:rsid w:val="00723CD8"/>
    <w:rsid w:val="007374C8"/>
    <w:rsid w:val="00741F68"/>
    <w:rsid w:val="00743267"/>
    <w:rsid w:val="00744224"/>
    <w:rsid w:val="0075462B"/>
    <w:rsid w:val="0076273B"/>
    <w:rsid w:val="0077618B"/>
    <w:rsid w:val="00793FD6"/>
    <w:rsid w:val="00794553"/>
    <w:rsid w:val="00796D97"/>
    <w:rsid w:val="007B413F"/>
    <w:rsid w:val="007C055E"/>
    <w:rsid w:val="007C3751"/>
    <w:rsid w:val="007D369D"/>
    <w:rsid w:val="007D561F"/>
    <w:rsid w:val="007E040C"/>
    <w:rsid w:val="00805834"/>
    <w:rsid w:val="008378B2"/>
    <w:rsid w:val="00845FF4"/>
    <w:rsid w:val="00850BA9"/>
    <w:rsid w:val="00854E8F"/>
    <w:rsid w:val="008656C6"/>
    <w:rsid w:val="00870203"/>
    <w:rsid w:val="00891CC7"/>
    <w:rsid w:val="00895586"/>
    <w:rsid w:val="0089663D"/>
    <w:rsid w:val="00897E8B"/>
    <w:rsid w:val="008B04DE"/>
    <w:rsid w:val="008B2C8C"/>
    <w:rsid w:val="008D395E"/>
    <w:rsid w:val="008E1AAA"/>
    <w:rsid w:val="008F15B3"/>
    <w:rsid w:val="008F7E4D"/>
    <w:rsid w:val="00903947"/>
    <w:rsid w:val="00930348"/>
    <w:rsid w:val="0093466D"/>
    <w:rsid w:val="0094131A"/>
    <w:rsid w:val="00960B3A"/>
    <w:rsid w:val="00970FBD"/>
    <w:rsid w:val="00971590"/>
    <w:rsid w:val="009822C8"/>
    <w:rsid w:val="0098540D"/>
    <w:rsid w:val="009A177C"/>
    <w:rsid w:val="009D4706"/>
    <w:rsid w:val="009D790C"/>
    <w:rsid w:val="009E16FA"/>
    <w:rsid w:val="00A0401E"/>
    <w:rsid w:val="00A04A79"/>
    <w:rsid w:val="00A110B3"/>
    <w:rsid w:val="00A13B2E"/>
    <w:rsid w:val="00A27A80"/>
    <w:rsid w:val="00A27F5D"/>
    <w:rsid w:val="00A334EE"/>
    <w:rsid w:val="00A353E4"/>
    <w:rsid w:val="00A4427D"/>
    <w:rsid w:val="00A70060"/>
    <w:rsid w:val="00A7256F"/>
    <w:rsid w:val="00A8416E"/>
    <w:rsid w:val="00A87177"/>
    <w:rsid w:val="00A87338"/>
    <w:rsid w:val="00AA38B5"/>
    <w:rsid w:val="00AA5E39"/>
    <w:rsid w:val="00AA7FD8"/>
    <w:rsid w:val="00AB3601"/>
    <w:rsid w:val="00AC0C86"/>
    <w:rsid w:val="00AC513C"/>
    <w:rsid w:val="00AD3525"/>
    <w:rsid w:val="00AE0037"/>
    <w:rsid w:val="00AF006A"/>
    <w:rsid w:val="00AF0C7B"/>
    <w:rsid w:val="00AF2F47"/>
    <w:rsid w:val="00AF5144"/>
    <w:rsid w:val="00B32699"/>
    <w:rsid w:val="00B32E50"/>
    <w:rsid w:val="00B45BED"/>
    <w:rsid w:val="00B60636"/>
    <w:rsid w:val="00B62B26"/>
    <w:rsid w:val="00BA25E5"/>
    <w:rsid w:val="00BE14A1"/>
    <w:rsid w:val="00BE1B3A"/>
    <w:rsid w:val="00BE2FD1"/>
    <w:rsid w:val="00BF130D"/>
    <w:rsid w:val="00BF3BAC"/>
    <w:rsid w:val="00C03FD3"/>
    <w:rsid w:val="00C12DCD"/>
    <w:rsid w:val="00C36FCA"/>
    <w:rsid w:val="00C4212F"/>
    <w:rsid w:val="00C43199"/>
    <w:rsid w:val="00C43468"/>
    <w:rsid w:val="00C46D97"/>
    <w:rsid w:val="00C522D0"/>
    <w:rsid w:val="00C6344F"/>
    <w:rsid w:val="00C63BEB"/>
    <w:rsid w:val="00C70076"/>
    <w:rsid w:val="00C8016B"/>
    <w:rsid w:val="00C82226"/>
    <w:rsid w:val="00C915D6"/>
    <w:rsid w:val="00CA2633"/>
    <w:rsid w:val="00CA441F"/>
    <w:rsid w:val="00CB5D13"/>
    <w:rsid w:val="00CC3FB0"/>
    <w:rsid w:val="00CD2943"/>
    <w:rsid w:val="00CE1637"/>
    <w:rsid w:val="00CF0BEB"/>
    <w:rsid w:val="00D04F26"/>
    <w:rsid w:val="00D04FE8"/>
    <w:rsid w:val="00D0697C"/>
    <w:rsid w:val="00D15B0E"/>
    <w:rsid w:val="00D23335"/>
    <w:rsid w:val="00D367E5"/>
    <w:rsid w:val="00D4375F"/>
    <w:rsid w:val="00D44268"/>
    <w:rsid w:val="00D53BF8"/>
    <w:rsid w:val="00D64140"/>
    <w:rsid w:val="00D66E5A"/>
    <w:rsid w:val="00D77B61"/>
    <w:rsid w:val="00D77D2C"/>
    <w:rsid w:val="00DA6880"/>
    <w:rsid w:val="00DB1132"/>
    <w:rsid w:val="00DB41ED"/>
    <w:rsid w:val="00DE4C73"/>
    <w:rsid w:val="00DE7EB8"/>
    <w:rsid w:val="00DF64F3"/>
    <w:rsid w:val="00E16D0A"/>
    <w:rsid w:val="00E23BF4"/>
    <w:rsid w:val="00E256CD"/>
    <w:rsid w:val="00E3033C"/>
    <w:rsid w:val="00E379D5"/>
    <w:rsid w:val="00E40BBC"/>
    <w:rsid w:val="00E621C5"/>
    <w:rsid w:val="00E633CD"/>
    <w:rsid w:val="00E6560D"/>
    <w:rsid w:val="00E702F3"/>
    <w:rsid w:val="00E97A85"/>
    <w:rsid w:val="00EA46B5"/>
    <w:rsid w:val="00EB7762"/>
    <w:rsid w:val="00EC7ECF"/>
    <w:rsid w:val="00ED1F4E"/>
    <w:rsid w:val="00EE2705"/>
    <w:rsid w:val="00EF109D"/>
    <w:rsid w:val="00EF677D"/>
    <w:rsid w:val="00F02331"/>
    <w:rsid w:val="00F0446C"/>
    <w:rsid w:val="00F161E4"/>
    <w:rsid w:val="00F2208B"/>
    <w:rsid w:val="00F25E62"/>
    <w:rsid w:val="00F30BD2"/>
    <w:rsid w:val="00F44402"/>
    <w:rsid w:val="00F45AAB"/>
    <w:rsid w:val="00F47965"/>
    <w:rsid w:val="00F504FB"/>
    <w:rsid w:val="00F51F09"/>
    <w:rsid w:val="00F56207"/>
    <w:rsid w:val="00F60C0A"/>
    <w:rsid w:val="00F664B2"/>
    <w:rsid w:val="00F80DA7"/>
    <w:rsid w:val="00F8719D"/>
    <w:rsid w:val="00F9753F"/>
    <w:rsid w:val="00FA1F84"/>
    <w:rsid w:val="00FC4EF6"/>
    <w:rsid w:val="00FD30E8"/>
    <w:rsid w:val="00FD31BF"/>
    <w:rsid w:val="00FD59BA"/>
    <w:rsid w:val="00F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09D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EF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09D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EF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Sandra Stankovic</cp:lastModifiedBy>
  <cp:revision>3</cp:revision>
  <dcterms:created xsi:type="dcterms:W3CDTF">2018-06-08T08:48:00Z</dcterms:created>
  <dcterms:modified xsi:type="dcterms:W3CDTF">2018-06-08T09:21:00Z</dcterms:modified>
</cp:coreProperties>
</file>